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2499" w14:textId="77777777" w:rsidR="00252AA8" w:rsidRPr="00252AA8" w:rsidRDefault="00252AA8" w:rsidP="00252AA8">
      <w:r w:rsidRPr="00252AA8">
        <w:rPr>
          <w:b/>
          <w:bCs/>
        </w:rPr>
        <w:t>Principal Scientist – Discovery Biology, Epigenetic Gene Regulation in Wound Healing</w:t>
      </w:r>
    </w:p>
    <w:p w14:paraId="6851D8DF" w14:textId="7D0D21BC" w:rsidR="00252AA8" w:rsidRPr="00252AA8" w:rsidRDefault="00252AA8" w:rsidP="00252AA8">
      <w:r w:rsidRPr="00252AA8">
        <w:rPr>
          <w:b/>
          <w:bCs/>
        </w:rPr>
        <w:t>Position Overview</w:t>
      </w:r>
      <w:r w:rsidRPr="00252AA8">
        <w:br/>
        <w:t>Oxia</w:t>
      </w:r>
      <w:r w:rsidR="00823524">
        <w:t xml:space="preserve"> Biosystems</w:t>
      </w:r>
      <w:r w:rsidRPr="00252AA8">
        <w:t xml:space="preserve"> is a forward-thinking, fully funded early-stage biotech company developing next-generation therapies for wound healing. The Principal Scientist will be a hands-on, innovative discovery leader focused on gene regulation and tissue injury response, with a strong emphasis on building IND-enabling data packages, scalable workflows, and translationally relevant assays. Working closely with the Chief Scientific Officer and a collaborative scientific team, this role will shape Oxia’s discovery platform and drive first-in-class therapeutics toward the clinic, including tech transfer to external partners and contributions to IP strategy. Oxia’s research facility </w:t>
      </w:r>
      <w:proofErr w:type="gramStart"/>
      <w:r w:rsidRPr="00252AA8">
        <w:t>is located in</w:t>
      </w:r>
      <w:proofErr w:type="gramEnd"/>
      <w:r w:rsidRPr="00252AA8">
        <w:t xml:space="preserve"> the vibrant Helix Park innovation district within the Texas Medical Center in Houston, Texas.</w:t>
      </w:r>
    </w:p>
    <w:p w14:paraId="26F9D44E" w14:textId="77777777" w:rsidR="00252AA8" w:rsidRPr="00252AA8" w:rsidRDefault="00D114D4" w:rsidP="00252AA8">
      <w:r>
        <w:pict w14:anchorId="507252BE">
          <v:rect id="_x0000_i1025" style="width:0;height:1.5pt" o:hralign="center" o:hrstd="t" o:hr="t" fillcolor="#a0a0a0" stroked="f"/>
        </w:pict>
      </w:r>
    </w:p>
    <w:p w14:paraId="59528063" w14:textId="77777777" w:rsidR="00252AA8" w:rsidRPr="00252AA8" w:rsidRDefault="00252AA8" w:rsidP="00252AA8">
      <w:pPr>
        <w:rPr>
          <w:b/>
          <w:bCs/>
        </w:rPr>
      </w:pPr>
      <w:r w:rsidRPr="00252AA8">
        <w:rPr>
          <w:b/>
          <w:bCs/>
        </w:rPr>
        <w:t>Key Responsibilities</w:t>
      </w:r>
    </w:p>
    <w:p w14:paraId="4D143DD1" w14:textId="0FB0BF4C" w:rsidR="00252AA8" w:rsidRPr="00252AA8" w:rsidRDefault="005B7D2D" w:rsidP="00252AA8">
      <w:pPr>
        <w:numPr>
          <w:ilvl w:val="0"/>
          <w:numId w:val="1"/>
        </w:numPr>
      </w:pPr>
      <w:r>
        <w:t>Participate in the</w:t>
      </w:r>
      <w:r w:rsidR="00252AA8" w:rsidRPr="00252AA8">
        <w:t xml:space="preserve"> design, execut</w:t>
      </w:r>
      <w:r w:rsidR="00DE4137">
        <w:t>ion</w:t>
      </w:r>
      <w:r w:rsidR="00252AA8" w:rsidRPr="00252AA8">
        <w:t>, and analy</w:t>
      </w:r>
      <w:r w:rsidR="00DE4137">
        <w:t xml:space="preserve">sis of </w:t>
      </w:r>
      <w:r w:rsidR="00252AA8" w:rsidRPr="00252AA8">
        <w:t>experiments aligned with rapidly evolving company priorities, milestones, and IND-enabling objectives.</w:t>
      </w:r>
    </w:p>
    <w:p w14:paraId="1C944B54" w14:textId="0DBB6B7C" w:rsidR="00252AA8" w:rsidRPr="00252AA8" w:rsidRDefault="00DE4137" w:rsidP="00252AA8">
      <w:pPr>
        <w:numPr>
          <w:ilvl w:val="0"/>
          <w:numId w:val="1"/>
        </w:numPr>
      </w:pPr>
      <w:r>
        <w:t>Partici</w:t>
      </w:r>
      <w:r w:rsidR="00A03822">
        <w:t>pate in</w:t>
      </w:r>
      <w:r w:rsidR="00252AA8" w:rsidRPr="00252AA8">
        <w:t xml:space="preserve"> the development, optimization, and validation of drug discovery assays (cell-based and biochemical) to evaluate modulators of gene activation and tissue injury pathways, with an eye toward robustness, scalability, and eventual tech transfer.</w:t>
      </w:r>
    </w:p>
    <w:p w14:paraId="1473B08B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Pioneer creative experimental approaches to uncover and characterize novel modulators of injury-response and epigenetic signaling, and link mechanistic insights to translational readouts relevant for regulatory filings.</w:t>
      </w:r>
    </w:p>
    <w:p w14:paraId="354889E2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Collaborate cross-functionally (chemistry, translational, CMC, external CROs) to integrate assay results into candidate selection, IND-enabling study design, and overall development strategy.</w:t>
      </w:r>
    </w:p>
    <w:p w14:paraId="3ADE6C97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Contribute to the design and implementation of scalable laboratory workflows, including documentation and process design that support reproducibility, quality, and transfer to internal and external partners.</w:t>
      </w:r>
    </w:p>
    <w:p w14:paraId="01F89F79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Partner with leadership and external counsel to generate high-quality data that supports patent filings and strengthens Oxia’s IP position in epigenetic regulation and wound repair.</w:t>
      </w:r>
    </w:p>
    <w:p w14:paraId="3A0A846D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Mentor and inspire junior team members, contributing to both scientific and professional growth in a dynamic biotech setting.</w:t>
      </w:r>
    </w:p>
    <w:p w14:paraId="40872E87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lastRenderedPageBreak/>
        <w:t>Communicate findings clearly across the team and with external partners; contribute scientific insights that drive strategy, portfolio prioritization, and risk assessment.</w:t>
      </w:r>
    </w:p>
    <w:p w14:paraId="1D10D539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Prepare and contribute to scientific reports, data packages for regulatory and investor interactions, and publications where appropriate.</w:t>
      </w:r>
    </w:p>
    <w:p w14:paraId="29D0BFEE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Maintain and improve lab protocols; ensure a culture of rigorous data documentation, quality, compliance, and continuous improvement.</w:t>
      </w:r>
    </w:p>
    <w:p w14:paraId="485FC73B" w14:textId="77777777" w:rsidR="00252AA8" w:rsidRPr="00252AA8" w:rsidRDefault="00252AA8" w:rsidP="00252AA8">
      <w:pPr>
        <w:numPr>
          <w:ilvl w:val="0"/>
          <w:numId w:val="1"/>
        </w:numPr>
      </w:pPr>
      <w:r w:rsidRPr="00252AA8">
        <w:t>Support start-up operations by ensuring smooth laboratory workflows and alignment of scientific goals with company infrastructure and technology platforms.</w:t>
      </w:r>
    </w:p>
    <w:p w14:paraId="1D6AFE00" w14:textId="77777777" w:rsidR="00252AA8" w:rsidRPr="00252AA8" w:rsidRDefault="00D114D4" w:rsidP="00252AA8">
      <w:r>
        <w:pict w14:anchorId="4CDD3178">
          <v:rect id="_x0000_i1026" style="width:0;height:1.5pt" o:hralign="center" o:hrstd="t" o:hr="t" fillcolor="#a0a0a0" stroked="f"/>
        </w:pict>
      </w:r>
    </w:p>
    <w:p w14:paraId="2C9EF821" w14:textId="77777777" w:rsidR="00252AA8" w:rsidRPr="00252AA8" w:rsidRDefault="00252AA8" w:rsidP="00252AA8">
      <w:pPr>
        <w:rPr>
          <w:b/>
          <w:bCs/>
        </w:rPr>
      </w:pPr>
      <w:r w:rsidRPr="00252AA8">
        <w:rPr>
          <w:b/>
          <w:bCs/>
        </w:rPr>
        <w:t>Qualifications and Experience</w:t>
      </w:r>
    </w:p>
    <w:p w14:paraId="69A1D151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 xml:space="preserve">PhD in molecular biology, cell biology, biochemistry, pharmacology, or related field; exceptional </w:t>
      </w:r>
      <w:r w:rsidRPr="00252AA8">
        <w:rPr>
          <w:b/>
          <w:bCs/>
        </w:rPr>
        <w:t>industry</w:t>
      </w:r>
      <w:r w:rsidRPr="00252AA8">
        <w:t xml:space="preserve"> experience with an MS will be considered.</w:t>
      </w:r>
    </w:p>
    <w:p w14:paraId="7FE80DA1" w14:textId="4B2E9FB7" w:rsidR="00252AA8" w:rsidRPr="00252AA8" w:rsidRDefault="003D7926" w:rsidP="00252AA8">
      <w:pPr>
        <w:numPr>
          <w:ilvl w:val="0"/>
          <w:numId w:val="2"/>
        </w:numPr>
      </w:pPr>
      <w:r>
        <w:t>2</w:t>
      </w:r>
      <w:r w:rsidR="00252AA8" w:rsidRPr="00252AA8">
        <w:t>+ years of relevant experience in biotech or pharma; prior start-up or high-growth industry experience preferred, with a track record of moving programs from discovery toward development or IND.</w:t>
      </w:r>
    </w:p>
    <w:p w14:paraId="045FC756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>Proven experience developing and running drug discovery assays, including:</w:t>
      </w:r>
    </w:p>
    <w:p w14:paraId="696EECCE" w14:textId="77777777" w:rsidR="00252AA8" w:rsidRPr="00252AA8" w:rsidRDefault="00252AA8" w:rsidP="00252AA8">
      <w:pPr>
        <w:numPr>
          <w:ilvl w:val="1"/>
          <w:numId w:val="2"/>
        </w:numPr>
      </w:pPr>
      <w:r w:rsidRPr="00252AA8">
        <w:t>Cell-based functional assays (e.g., reporter assays, viability/phenotypic assays, pathway activation/inhibition).</w:t>
      </w:r>
    </w:p>
    <w:p w14:paraId="5F7F8E60" w14:textId="571E1197" w:rsidR="00252AA8" w:rsidRPr="00252AA8" w:rsidRDefault="00252AA8" w:rsidP="00252AA8">
      <w:pPr>
        <w:numPr>
          <w:ilvl w:val="1"/>
          <w:numId w:val="2"/>
        </w:numPr>
      </w:pPr>
      <w:r w:rsidRPr="00252AA8">
        <w:t>Biochemical/biophysical assays for target engagement</w:t>
      </w:r>
      <w:r w:rsidR="003075C8">
        <w:t>.</w:t>
      </w:r>
    </w:p>
    <w:p w14:paraId="3B85D629" w14:textId="77777777" w:rsidR="00252AA8" w:rsidRPr="00252AA8" w:rsidRDefault="00252AA8" w:rsidP="00252AA8">
      <w:pPr>
        <w:numPr>
          <w:ilvl w:val="1"/>
          <w:numId w:val="2"/>
        </w:numPr>
      </w:pPr>
      <w:r w:rsidRPr="00252AA8">
        <w:t>Assay troubleshooting, miniaturization, and implementation in low- to medium-throughput screening, with attention to assay robustness and transferability.</w:t>
      </w:r>
    </w:p>
    <w:p w14:paraId="1875C235" w14:textId="1EACCFC5" w:rsidR="00252AA8" w:rsidRPr="00252AA8" w:rsidRDefault="00CB4015" w:rsidP="00252AA8">
      <w:pPr>
        <w:numPr>
          <w:ilvl w:val="0"/>
          <w:numId w:val="2"/>
        </w:numPr>
      </w:pPr>
      <w:r>
        <w:t>E</w:t>
      </w:r>
      <w:r w:rsidR="00252AA8" w:rsidRPr="00252AA8">
        <w:t>xperience designing and executing cell-</w:t>
      </w:r>
      <w:r w:rsidR="004B0625" w:rsidRPr="00252AA8">
        <w:t>based</w:t>
      </w:r>
      <w:r w:rsidR="00252AA8" w:rsidRPr="00252AA8">
        <w:t xml:space="preserve"> biochemical assays; strong interest in gene regulation, epigenetics, or tissue repair, ideally with exposure to regulatory or translational endpoints.</w:t>
      </w:r>
    </w:p>
    <w:p w14:paraId="78A82086" w14:textId="44ED7504" w:rsidR="00252AA8" w:rsidRPr="00252AA8" w:rsidRDefault="00252AA8" w:rsidP="00252AA8">
      <w:pPr>
        <w:numPr>
          <w:ilvl w:val="0"/>
          <w:numId w:val="2"/>
        </w:numPr>
      </w:pPr>
      <w:r w:rsidRPr="00252AA8">
        <w:t>Demonstrated comfort working independently in a biotech environment, with a willingness to “wear multiple hats” while benefiting from a fully funded, well-resourced lab.</w:t>
      </w:r>
    </w:p>
    <w:p w14:paraId="64F4BA80" w14:textId="2931FA1C" w:rsidR="00252AA8" w:rsidRPr="00252AA8" w:rsidRDefault="00252AA8" w:rsidP="00252AA8">
      <w:pPr>
        <w:numPr>
          <w:ilvl w:val="0"/>
          <w:numId w:val="2"/>
        </w:numPr>
      </w:pPr>
      <w:r w:rsidRPr="00252AA8">
        <w:lastRenderedPageBreak/>
        <w:t>Strong technical proficiency in mammalian cell culture, quantitative readouts (flow cytometry, luminescence/fluorescence), and standard molecular biology/CRISPR techniques.</w:t>
      </w:r>
    </w:p>
    <w:p w14:paraId="1BA3AA3A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>Experience contributing to IND-enabling activities, tech transfer to CROs or external labs, or generation of data supporting patents or regulatory documents is a plus.</w:t>
      </w:r>
    </w:p>
    <w:p w14:paraId="70C631DC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>Record of scientific and/or technical leadership in small teams; mentoring experience and enthusiasm for developing others.</w:t>
      </w:r>
    </w:p>
    <w:p w14:paraId="7E73A700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>Strong organizational skills with the ability to design and manage efficient workflows and adapt swiftly to evolving priorities and timelines.</w:t>
      </w:r>
    </w:p>
    <w:p w14:paraId="35DAA25D" w14:textId="77777777" w:rsidR="00252AA8" w:rsidRPr="00252AA8" w:rsidRDefault="00252AA8" w:rsidP="00252AA8">
      <w:pPr>
        <w:numPr>
          <w:ilvl w:val="0"/>
          <w:numId w:val="2"/>
        </w:numPr>
      </w:pPr>
      <w:r w:rsidRPr="00252AA8">
        <w:t>Track record of effective communication—in presentations, data summaries, or publications/supporting grant or regulatory applications.</w:t>
      </w:r>
    </w:p>
    <w:p w14:paraId="1F938AE6" w14:textId="77777777" w:rsidR="00252AA8" w:rsidRDefault="00252AA8" w:rsidP="00252AA8">
      <w:pPr>
        <w:numPr>
          <w:ilvl w:val="0"/>
          <w:numId w:val="2"/>
        </w:numPr>
      </w:pPr>
      <w:r w:rsidRPr="00252AA8">
        <w:t>Entrepreneurial mindset and collaborative spirit—energized by building new capabilities and making an impact as part of a close-knit biotech team.</w:t>
      </w:r>
    </w:p>
    <w:p w14:paraId="00449DB5" w14:textId="77777777" w:rsidR="00D114D4" w:rsidRDefault="00D114D4" w:rsidP="00D114D4"/>
    <w:p w14:paraId="63BB88B1" w14:textId="192A500F" w:rsidR="00D114D4" w:rsidRPr="00252AA8" w:rsidRDefault="00D114D4" w:rsidP="00D114D4">
      <w:r>
        <w:t>Interested candidates please send CV to lmcclendon@oxia.bio</w:t>
      </w:r>
    </w:p>
    <w:sectPr w:rsidR="00D114D4" w:rsidRPr="0025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C87"/>
    <w:multiLevelType w:val="multilevel"/>
    <w:tmpl w:val="9E3E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45FA2"/>
    <w:multiLevelType w:val="multilevel"/>
    <w:tmpl w:val="3C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46463"/>
    <w:multiLevelType w:val="multilevel"/>
    <w:tmpl w:val="DEBA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332268">
    <w:abstractNumId w:val="1"/>
  </w:num>
  <w:num w:numId="2" w16cid:durableId="364523632">
    <w:abstractNumId w:val="2"/>
  </w:num>
  <w:num w:numId="3" w16cid:durableId="13805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A8"/>
    <w:rsid w:val="00252AA8"/>
    <w:rsid w:val="003075C8"/>
    <w:rsid w:val="00351D87"/>
    <w:rsid w:val="003D7926"/>
    <w:rsid w:val="004A0DC6"/>
    <w:rsid w:val="004B0625"/>
    <w:rsid w:val="005B7D2D"/>
    <w:rsid w:val="00823524"/>
    <w:rsid w:val="008D4F51"/>
    <w:rsid w:val="0097696C"/>
    <w:rsid w:val="00A03822"/>
    <w:rsid w:val="00A27F46"/>
    <w:rsid w:val="00B536F5"/>
    <w:rsid w:val="00C66E48"/>
    <w:rsid w:val="00C8100A"/>
    <w:rsid w:val="00CB4015"/>
    <w:rsid w:val="00D114D4"/>
    <w:rsid w:val="00DE4137"/>
    <w:rsid w:val="00E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D7AA83"/>
  <w15:chartTrackingRefBased/>
  <w15:docId w15:val="{A264EDE0-5DAA-40CF-9EF1-1AF22E6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A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4323</Characters>
  <Application>Microsoft Office Word</Application>
  <DocSecurity>0</DocSecurity>
  <Lines>75</Lines>
  <Paragraphs>33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McClendon</dc:creator>
  <cp:keywords/>
  <dc:description/>
  <cp:lastModifiedBy>Lisa McClendon</cp:lastModifiedBy>
  <cp:revision>18</cp:revision>
  <dcterms:created xsi:type="dcterms:W3CDTF">2025-11-23T20:57:00Z</dcterms:created>
  <dcterms:modified xsi:type="dcterms:W3CDTF">2025-11-23T22:01:00Z</dcterms:modified>
</cp:coreProperties>
</file>